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E4" w:rsidRPr="003753AE" w:rsidRDefault="007E76E4" w:rsidP="007E76E4">
      <w:pPr>
        <w:pStyle w:val="JRCLevel-3title"/>
        <w:numPr>
          <w:ilvl w:val="0"/>
          <w:numId w:val="0"/>
        </w:numPr>
        <w:rPr>
          <w:lang w:val="en-IE"/>
        </w:rPr>
      </w:pPr>
      <w:r>
        <w:rPr>
          <w:lang w:val="en-IE"/>
        </w:rPr>
        <w:t>METADATA FICHE</w:t>
      </w:r>
      <w:bookmarkStart w:id="0" w:name="_GoBack"/>
      <w:bookmarkEnd w:id="0"/>
    </w:p>
    <w:tbl>
      <w:tblPr>
        <w:tblW w:w="9072" w:type="dxa"/>
        <w:tblBorders>
          <w:insideH w:val="single" w:sz="4" w:space="0" w:color="auto"/>
        </w:tblBorders>
        <w:tblLook w:val="04A0" w:firstRow="1" w:lastRow="0" w:firstColumn="1" w:lastColumn="0" w:noHBand="0" w:noVBand="1"/>
      </w:tblPr>
      <w:tblGrid>
        <w:gridCol w:w="2694"/>
        <w:gridCol w:w="6378"/>
      </w:tblGrid>
      <w:tr w:rsidR="007E76E4" w:rsidRPr="003753AE" w:rsidTr="001B31CB">
        <w:trPr>
          <w:trHeight w:val="535"/>
          <w:tblHeader/>
        </w:trPr>
        <w:tc>
          <w:tcPr>
            <w:tcW w:w="2694" w:type="dxa"/>
            <w:tcBorders>
              <w:top w:val="nil"/>
              <w:bottom w:val="single" w:sz="4" w:space="0" w:color="auto"/>
            </w:tcBorders>
            <w:shd w:val="clear" w:color="auto" w:fill="DBE5F1" w:themeFill="accent1" w:themeFillTint="33"/>
            <w:vAlign w:val="center"/>
            <w:hideMark/>
          </w:tcPr>
          <w:p w:rsidR="007E76E4" w:rsidRPr="003753AE" w:rsidRDefault="007E76E4" w:rsidP="001B31CB">
            <w:pPr>
              <w:spacing w:before="240" w:after="120"/>
              <w:ind w:right="85"/>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Indicator name</w:t>
            </w:r>
          </w:p>
        </w:tc>
        <w:tc>
          <w:tcPr>
            <w:tcW w:w="6378" w:type="dxa"/>
            <w:tcBorders>
              <w:top w:val="nil"/>
              <w:bottom w:val="single" w:sz="4" w:space="0" w:color="auto"/>
            </w:tcBorders>
            <w:shd w:val="clear" w:color="auto" w:fill="DBE5F1" w:themeFill="accent1" w:themeFillTint="33"/>
            <w:vAlign w:val="center"/>
            <w:hideMark/>
          </w:tcPr>
          <w:p w:rsidR="007E76E4" w:rsidRPr="003753AE" w:rsidRDefault="007E76E4" w:rsidP="001B31CB">
            <w:pPr>
              <w:pStyle w:val="JRCLevel-4title"/>
              <w:rPr>
                <w:rFonts w:cs="Calibri"/>
                <w:color w:val="000000"/>
                <w:lang w:val="en-IE" w:eastAsia="en-IE"/>
              </w:rPr>
            </w:pPr>
            <w:bookmarkStart w:id="1" w:name="_Toc69828984"/>
            <w:r w:rsidRPr="003753AE">
              <w:rPr>
                <w:lang w:val="en-IE"/>
              </w:rPr>
              <w:t>G1: AI economic agents</w:t>
            </w:r>
            <w:bookmarkEnd w:id="1"/>
          </w:p>
        </w:tc>
      </w:tr>
      <w:tr w:rsidR="007E76E4" w:rsidRPr="003753AE" w:rsidTr="001B31CB">
        <w:trPr>
          <w:trHeight w:val="284"/>
        </w:trPr>
        <w:tc>
          <w:tcPr>
            <w:tcW w:w="2694" w:type="dxa"/>
            <w:tcBorders>
              <w:top w:val="single" w:sz="4" w:space="0" w:color="auto"/>
            </w:tcBorders>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Rationale</w:t>
            </w:r>
          </w:p>
        </w:tc>
        <w:tc>
          <w:tcPr>
            <w:tcW w:w="6378" w:type="dxa"/>
            <w:tcBorders>
              <w:top w:val="single" w:sz="4" w:space="0" w:color="auto"/>
            </w:tcBorders>
            <w:shd w:val="clear" w:color="auto" w:fill="auto"/>
            <w:hideMark/>
          </w:tcPr>
          <w:p w:rsidR="007E76E4" w:rsidRPr="003753AE" w:rsidRDefault="007E76E4" w:rsidP="001B31CB">
            <w:pPr>
              <w:rPr>
                <w:rFonts w:ascii="EC Square Sans Pro" w:hAnsi="EC Square Sans Pro"/>
                <w:sz w:val="20"/>
                <w:szCs w:val="20"/>
                <w:lang w:val="en-IE"/>
              </w:rPr>
            </w:pPr>
            <w:r>
              <w:rPr>
                <w:rFonts w:ascii="EC Square Sans Pro" w:hAnsi="EC Square Sans Pro"/>
                <w:sz w:val="20"/>
                <w:szCs w:val="20"/>
                <w:lang w:val="en-IE"/>
              </w:rPr>
              <w:t>It m</w:t>
            </w:r>
            <w:r w:rsidRPr="003753AE">
              <w:rPr>
                <w:rFonts w:ascii="EC Square Sans Pro" w:hAnsi="EC Square Sans Pro"/>
                <w:sz w:val="20"/>
                <w:szCs w:val="20"/>
                <w:lang w:val="en-IE"/>
              </w:rPr>
              <w:t xml:space="preserve">easures the size of the AI landscape. It measures the level of involvement of a geographical area (country, region…) in the worldwide AI landscape. Useful for cross-country comparison. The breakdown per organisation type enables further analysis of the relationships between research and industry, research and government and industry and government in different geographic areas, and allows the assessment of different properties of the whole ecosystem and local areas. </w:t>
            </w:r>
          </w:p>
        </w:tc>
      </w:tr>
      <w:tr w:rsidR="007E76E4" w:rsidRPr="003753AE" w:rsidTr="001B31CB">
        <w:trPr>
          <w:trHeight w:val="284"/>
        </w:trPr>
        <w:tc>
          <w:tcPr>
            <w:tcW w:w="2694" w:type="dxa"/>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Definition</w:t>
            </w:r>
          </w:p>
        </w:tc>
        <w:tc>
          <w:tcPr>
            <w:tcW w:w="6378" w:type="dxa"/>
            <w:shd w:val="clear" w:color="auto" w:fill="auto"/>
            <w:hideMark/>
          </w:tcPr>
          <w:p w:rsidR="007E76E4" w:rsidRPr="003753AE" w:rsidRDefault="007E76E4" w:rsidP="001B31CB">
            <w:pPr>
              <w:rPr>
                <w:rFonts w:ascii="EC Square Sans Pro" w:hAnsi="EC Square Sans Pro" w:cs="Calibri"/>
                <w:color w:val="000000"/>
                <w:sz w:val="20"/>
                <w:szCs w:val="20"/>
                <w:lang w:val="en-IE" w:eastAsia="en-IE"/>
              </w:rPr>
            </w:pPr>
            <w:r w:rsidRPr="003753AE">
              <w:rPr>
                <w:rFonts w:ascii="EC Square Sans Pro" w:hAnsi="EC Square Sans Pro"/>
                <w:sz w:val="20"/>
                <w:szCs w:val="20"/>
                <w:lang w:val="en-IE"/>
              </w:rPr>
              <w:t>Number of economic agents in the AI ecosystem. Agents may be research institutes, universities, firms, laboratories, or governmental institutions, grouped into 3 types: research institutes, firms and governmental institutions. Further details: The category “governmental institutions” includes the institutions owned by the state, or with public administrative functions, which do not have an explicit research portfolio (i.e., excludes universities and research institutions, which fall under ""research institutes""). In the category “research institutes”, all agents mainly devoted to research activity are encompassed, i.e. private research centres, public research centres, universities , university/academic spin-offs, and industrial research centres exclusively dedicated to research activities. Departments of a same university are not considered as separate agents."</w:t>
            </w:r>
          </w:p>
        </w:tc>
      </w:tr>
      <w:tr w:rsidR="007E76E4" w:rsidRPr="003753AE" w:rsidTr="001B31CB">
        <w:trPr>
          <w:trHeight w:val="284"/>
        </w:trPr>
        <w:tc>
          <w:tcPr>
            <w:tcW w:w="2694" w:type="dxa"/>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Unit of measurement</w:t>
            </w:r>
          </w:p>
        </w:tc>
        <w:tc>
          <w:tcPr>
            <w:tcW w:w="6378" w:type="dxa"/>
            <w:shd w:val="clear" w:color="auto" w:fill="auto"/>
            <w:hideMark/>
          </w:tcPr>
          <w:p w:rsidR="007E76E4" w:rsidRPr="003753AE" w:rsidRDefault="007E76E4" w:rsidP="001B31CB">
            <w:pPr>
              <w:rPr>
                <w:rFonts w:ascii="EC Square Sans Pro" w:hAnsi="EC Square Sans Pro" w:cs="Calibri"/>
                <w:color w:val="000000"/>
                <w:sz w:val="20"/>
                <w:szCs w:val="20"/>
                <w:lang w:val="en-IE" w:eastAsia="en-IE"/>
              </w:rPr>
            </w:pPr>
            <w:r w:rsidRPr="003753AE">
              <w:rPr>
                <w:rFonts w:ascii="EC Square Sans Pro" w:hAnsi="EC Square Sans Pro"/>
                <w:sz w:val="20"/>
                <w:szCs w:val="20"/>
                <w:lang w:val="en-IE"/>
              </w:rPr>
              <w:t>Number of agents (integer, percentage)</w:t>
            </w:r>
          </w:p>
        </w:tc>
      </w:tr>
      <w:tr w:rsidR="007E76E4" w:rsidRPr="003753AE" w:rsidTr="001B31CB">
        <w:trPr>
          <w:trHeight w:val="284"/>
        </w:trPr>
        <w:tc>
          <w:tcPr>
            <w:tcW w:w="2694" w:type="dxa"/>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Geographical coverage</w:t>
            </w:r>
          </w:p>
        </w:tc>
        <w:tc>
          <w:tcPr>
            <w:tcW w:w="6378" w:type="dxa"/>
            <w:shd w:val="clear" w:color="auto" w:fill="auto"/>
            <w:hideMark/>
          </w:tcPr>
          <w:p w:rsidR="007E76E4" w:rsidRPr="003753AE" w:rsidRDefault="007E76E4" w:rsidP="001B31CB">
            <w:pPr>
              <w:rPr>
                <w:rFonts w:ascii="EC Square Sans Pro" w:hAnsi="EC Square Sans Pro" w:cs="Calibri"/>
                <w:color w:val="000000"/>
                <w:sz w:val="20"/>
                <w:szCs w:val="20"/>
                <w:lang w:val="en-IE" w:eastAsia="en-IE"/>
              </w:rPr>
            </w:pPr>
            <w:r w:rsidRPr="003753AE">
              <w:rPr>
                <w:rFonts w:ascii="EC Square Sans Pro" w:hAnsi="EC Square Sans Pro"/>
                <w:sz w:val="20"/>
                <w:szCs w:val="20"/>
                <w:lang w:val="en-IE"/>
              </w:rPr>
              <w:t>World</w:t>
            </w:r>
          </w:p>
        </w:tc>
      </w:tr>
      <w:tr w:rsidR="007E76E4" w:rsidRPr="003753AE" w:rsidTr="001B31CB">
        <w:trPr>
          <w:trHeight w:val="284"/>
        </w:trPr>
        <w:tc>
          <w:tcPr>
            <w:tcW w:w="2694" w:type="dxa"/>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Geographical granularity</w:t>
            </w:r>
          </w:p>
        </w:tc>
        <w:tc>
          <w:tcPr>
            <w:tcW w:w="6378" w:type="dxa"/>
            <w:shd w:val="clear" w:color="auto" w:fill="auto"/>
            <w:hideMark/>
          </w:tcPr>
          <w:p w:rsidR="007E76E4" w:rsidRPr="003753AE" w:rsidRDefault="007E76E4" w:rsidP="001B31CB">
            <w:pPr>
              <w:rPr>
                <w:rFonts w:ascii="EC Square Sans Pro" w:hAnsi="EC Square Sans Pro" w:cs="Calibri"/>
                <w:color w:val="000000"/>
                <w:sz w:val="20"/>
                <w:szCs w:val="20"/>
                <w:lang w:val="en-IE" w:eastAsia="en-IE"/>
              </w:rPr>
            </w:pPr>
            <w:r w:rsidRPr="003753AE">
              <w:rPr>
                <w:rFonts w:ascii="EC Square Sans Pro" w:hAnsi="EC Square Sans Pro"/>
                <w:sz w:val="20"/>
                <w:szCs w:val="20"/>
                <w:lang w:val="en-IE"/>
              </w:rPr>
              <w:t>World, Macro area (top countries plus world regions), Country, Region</w:t>
            </w:r>
          </w:p>
        </w:tc>
      </w:tr>
      <w:tr w:rsidR="007E76E4" w:rsidRPr="003753AE" w:rsidTr="001B31CB">
        <w:trPr>
          <w:trHeight w:val="284"/>
        </w:trPr>
        <w:tc>
          <w:tcPr>
            <w:tcW w:w="2694" w:type="dxa"/>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Breakdown</w:t>
            </w:r>
          </w:p>
        </w:tc>
        <w:tc>
          <w:tcPr>
            <w:tcW w:w="6378" w:type="dxa"/>
            <w:shd w:val="clear" w:color="auto" w:fill="auto"/>
            <w:hideMark/>
          </w:tcPr>
          <w:p w:rsidR="007E76E4" w:rsidRPr="003753AE" w:rsidRDefault="007E76E4" w:rsidP="001B31CB">
            <w:pPr>
              <w:rPr>
                <w:rFonts w:ascii="EC Square Sans Pro" w:hAnsi="EC Square Sans Pro" w:cs="Calibri"/>
                <w:color w:val="000000"/>
                <w:sz w:val="20"/>
                <w:szCs w:val="20"/>
                <w:lang w:val="en-IE" w:eastAsia="en-IE"/>
              </w:rPr>
            </w:pPr>
            <w:r w:rsidRPr="003753AE">
              <w:rPr>
                <w:rFonts w:ascii="EC Square Sans Pro" w:hAnsi="EC Square Sans Pro"/>
                <w:sz w:val="20"/>
                <w:szCs w:val="20"/>
                <w:lang w:val="en-IE"/>
              </w:rPr>
              <w:t>Organisation type: research institute, firm or governmental institution.</w:t>
            </w:r>
          </w:p>
        </w:tc>
      </w:tr>
      <w:tr w:rsidR="007E76E4" w:rsidRPr="003753AE" w:rsidTr="001B31CB">
        <w:trPr>
          <w:trHeight w:val="284"/>
        </w:trPr>
        <w:tc>
          <w:tcPr>
            <w:tcW w:w="2694" w:type="dxa"/>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Data source(s)</w:t>
            </w:r>
          </w:p>
        </w:tc>
        <w:tc>
          <w:tcPr>
            <w:tcW w:w="6378" w:type="dxa"/>
            <w:shd w:val="clear" w:color="auto" w:fill="auto"/>
            <w:hideMark/>
          </w:tcPr>
          <w:p w:rsidR="007E76E4" w:rsidRDefault="007E76E4" w:rsidP="001B31CB">
            <w:pPr>
              <w:rPr>
                <w:rFonts w:ascii="EC Square Sans Pro" w:hAnsi="EC Square Sans Pro"/>
                <w:sz w:val="20"/>
                <w:szCs w:val="20"/>
                <w:lang w:val="en-IE"/>
              </w:rPr>
            </w:pPr>
            <w:r w:rsidRPr="003753AE">
              <w:rPr>
                <w:rFonts w:ascii="EC Square Sans Pro" w:hAnsi="EC Square Sans Pro"/>
                <w:sz w:val="20"/>
                <w:szCs w:val="20"/>
                <w:lang w:val="en-IE"/>
              </w:rPr>
              <w:t>JRC AI TES Dataset</w:t>
            </w:r>
          </w:p>
          <w:p w:rsidR="007E76E4" w:rsidRPr="003753AE" w:rsidRDefault="007E76E4" w:rsidP="001B31CB">
            <w:pPr>
              <w:rPr>
                <w:rFonts w:ascii="EC Square Sans Pro" w:hAnsi="EC Square Sans Pro" w:cs="Calibri"/>
                <w:color w:val="000000"/>
                <w:sz w:val="20"/>
                <w:szCs w:val="20"/>
                <w:lang w:val="en-IE" w:eastAsia="en-IE"/>
              </w:rPr>
            </w:pPr>
            <w:r>
              <w:rPr>
                <w:rFonts w:ascii="EC Square Sans Pro" w:hAnsi="EC Square Sans Pro"/>
                <w:sz w:val="20"/>
                <w:szCs w:val="20"/>
                <w:lang w:val="en-IE"/>
              </w:rPr>
              <w:t xml:space="preserve">It is a multisource microdata dataset built </w:t>
            </w:r>
            <w:r w:rsidRPr="00576804">
              <w:rPr>
                <w:rFonts w:ascii="EC Square Sans Pro" w:hAnsi="EC Square Sans Pro"/>
                <w:sz w:val="20"/>
                <w:szCs w:val="20"/>
                <w:lang w:val="en-IE"/>
              </w:rPr>
              <w:t>by considering the main AI-related industrial, innovation and research activities, and all the economic players that are involved in them (i.e. firms, research institutes, governmental institutions). The TES approach takes into account information about location, technological aspects, and interactions, in order to build a holistic and interconnected view of the worldwide AI ecosystem from 2009 to 2020.</w:t>
            </w:r>
          </w:p>
        </w:tc>
      </w:tr>
      <w:tr w:rsidR="007E76E4" w:rsidRPr="003753AE" w:rsidTr="001B31CB">
        <w:trPr>
          <w:trHeight w:val="284"/>
        </w:trPr>
        <w:tc>
          <w:tcPr>
            <w:tcW w:w="2694" w:type="dxa"/>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Reference date</w:t>
            </w:r>
          </w:p>
        </w:tc>
        <w:tc>
          <w:tcPr>
            <w:tcW w:w="6378" w:type="dxa"/>
            <w:shd w:val="clear" w:color="auto" w:fill="auto"/>
            <w:hideMark/>
          </w:tcPr>
          <w:p w:rsidR="007E76E4" w:rsidRPr="003753AE" w:rsidRDefault="007E76E4" w:rsidP="001B31CB">
            <w:pPr>
              <w:rPr>
                <w:rFonts w:ascii="EC Square Sans Pro" w:hAnsi="EC Square Sans Pro" w:cs="Calibri"/>
                <w:color w:val="000000"/>
                <w:sz w:val="20"/>
                <w:szCs w:val="20"/>
                <w:lang w:val="en-IE" w:eastAsia="en-IE"/>
              </w:rPr>
            </w:pPr>
            <w:r w:rsidRPr="003753AE">
              <w:rPr>
                <w:rFonts w:ascii="EC Square Sans Pro" w:hAnsi="EC Square Sans Pro"/>
                <w:sz w:val="20"/>
                <w:szCs w:val="20"/>
                <w:lang w:val="en-IE"/>
              </w:rPr>
              <w:t>Period 2009-2020 (one value for the entire period)</w:t>
            </w:r>
          </w:p>
        </w:tc>
      </w:tr>
      <w:tr w:rsidR="007E76E4" w:rsidRPr="003753AE" w:rsidTr="001B31CB">
        <w:trPr>
          <w:trHeight w:val="284"/>
        </w:trPr>
        <w:tc>
          <w:tcPr>
            <w:tcW w:w="2694" w:type="dxa"/>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Reporting frequency</w:t>
            </w:r>
          </w:p>
        </w:tc>
        <w:tc>
          <w:tcPr>
            <w:tcW w:w="6378" w:type="dxa"/>
            <w:shd w:val="clear" w:color="auto" w:fill="auto"/>
            <w:hideMark/>
          </w:tcPr>
          <w:p w:rsidR="007E76E4" w:rsidRPr="003753AE" w:rsidRDefault="007E76E4" w:rsidP="001B31CB">
            <w:pPr>
              <w:rPr>
                <w:rFonts w:ascii="EC Square Sans Pro" w:hAnsi="EC Square Sans Pro" w:cs="Calibri"/>
                <w:color w:val="000000"/>
                <w:sz w:val="20"/>
                <w:szCs w:val="20"/>
                <w:lang w:val="en-IE" w:eastAsia="en-IE"/>
              </w:rPr>
            </w:pPr>
            <w:r w:rsidRPr="003753AE">
              <w:rPr>
                <w:rFonts w:ascii="EC Square Sans Pro" w:hAnsi="EC Square Sans Pro"/>
                <w:sz w:val="20"/>
                <w:szCs w:val="20"/>
                <w:lang w:val="en-IE"/>
              </w:rPr>
              <w:t xml:space="preserve">Annual* (see </w:t>
            </w:r>
            <w:r>
              <w:rPr>
                <w:rFonts w:ascii="EC Square Sans Pro" w:hAnsi="EC Square Sans Pro"/>
                <w:sz w:val="20"/>
                <w:szCs w:val="20"/>
                <w:lang w:val="en-IE"/>
              </w:rPr>
              <w:t>References and Comments</w:t>
            </w:r>
            <w:r w:rsidRPr="003753AE">
              <w:rPr>
                <w:rFonts w:ascii="EC Square Sans Pro" w:hAnsi="EC Square Sans Pro"/>
                <w:sz w:val="20"/>
                <w:szCs w:val="20"/>
                <w:lang w:val="en-IE"/>
              </w:rPr>
              <w:t>)</w:t>
            </w:r>
          </w:p>
        </w:tc>
      </w:tr>
      <w:tr w:rsidR="007E76E4" w:rsidRPr="003753AE" w:rsidTr="001B31CB">
        <w:trPr>
          <w:trHeight w:val="284"/>
        </w:trPr>
        <w:tc>
          <w:tcPr>
            <w:tcW w:w="2694" w:type="dxa"/>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t>Known limitations</w:t>
            </w:r>
          </w:p>
        </w:tc>
        <w:tc>
          <w:tcPr>
            <w:tcW w:w="6378" w:type="dxa"/>
            <w:shd w:val="clear" w:color="auto" w:fill="auto"/>
            <w:hideMark/>
          </w:tcPr>
          <w:p w:rsidR="007E76E4" w:rsidRPr="003753AE" w:rsidRDefault="007E76E4" w:rsidP="001B31CB">
            <w:pPr>
              <w:rPr>
                <w:rFonts w:ascii="EC Square Sans Pro" w:hAnsi="EC Square Sans Pro" w:cs="Calibri"/>
                <w:color w:val="000000"/>
                <w:sz w:val="20"/>
                <w:szCs w:val="20"/>
                <w:lang w:val="en-IE" w:eastAsia="en-IE"/>
              </w:rPr>
            </w:pPr>
            <w:r w:rsidRPr="003753AE">
              <w:rPr>
                <w:rFonts w:ascii="EC Square Sans Pro" w:hAnsi="EC Square Sans Pro"/>
                <w:sz w:val="20"/>
                <w:szCs w:val="20"/>
                <w:lang w:val="en-IE"/>
              </w:rPr>
              <w:t>It does not address the relative importance of players, but their presence in the landscape. This limitation is overcome by the introduction of indicators addressing the level of involvement (number of AI R&amp;D activities). This indicator does not consider the size of the economy of the geographic area. This is overcome by the consideration of the indicator relative to GDP.</w:t>
            </w:r>
          </w:p>
        </w:tc>
      </w:tr>
      <w:tr w:rsidR="007E76E4" w:rsidRPr="003753AE" w:rsidTr="001B31CB">
        <w:trPr>
          <w:trHeight w:val="284"/>
        </w:trPr>
        <w:tc>
          <w:tcPr>
            <w:tcW w:w="2694" w:type="dxa"/>
            <w:tcBorders>
              <w:bottom w:val="single" w:sz="4" w:space="0" w:color="auto"/>
            </w:tcBorders>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Pr>
                <w:rFonts w:ascii="EC Square Sans Pro" w:hAnsi="EC Square Sans Pro" w:cs="Calibri"/>
                <w:b/>
                <w:bCs/>
                <w:color w:val="000000"/>
                <w:sz w:val="20"/>
                <w:szCs w:val="20"/>
                <w:lang w:val="en-IE" w:eastAsia="en-IE"/>
              </w:rPr>
              <w:t>References and Comments</w:t>
            </w:r>
          </w:p>
        </w:tc>
        <w:tc>
          <w:tcPr>
            <w:tcW w:w="6378" w:type="dxa"/>
            <w:tcBorders>
              <w:bottom w:val="single" w:sz="4" w:space="0" w:color="auto"/>
            </w:tcBorders>
            <w:shd w:val="clear" w:color="auto" w:fill="auto"/>
            <w:noWrap/>
          </w:tcPr>
          <w:p w:rsidR="007E76E4" w:rsidRPr="003753AE" w:rsidRDefault="007E76E4" w:rsidP="001B31CB">
            <w:pPr>
              <w:rPr>
                <w:rFonts w:ascii="EC Square Sans Pro" w:hAnsi="EC Square Sans Pro"/>
                <w:sz w:val="20"/>
                <w:szCs w:val="20"/>
                <w:lang w:val="en-IE"/>
              </w:rPr>
            </w:pPr>
            <w:r w:rsidRPr="003753AE">
              <w:rPr>
                <w:rFonts w:ascii="EC Square Sans Pro" w:hAnsi="EC Square Sans Pro"/>
                <w:sz w:val="20"/>
                <w:szCs w:val="20"/>
                <w:lang w:val="en-IE"/>
              </w:rPr>
              <w:t xml:space="preserve">The economic agent (or player) is expected to have an active role in the techno-economic segment, with the capability to influence its economic development and future evolution. In this sense, the focus is set on the organisations, and not on individuals, namely the applicant organisation owning the invention in the case of patents, authors´ affiliation in conference proceedings, companies, governmental entities, etc. </w:t>
            </w:r>
          </w:p>
          <w:p w:rsidR="007E76E4" w:rsidRPr="003753AE" w:rsidRDefault="007E76E4" w:rsidP="001B31CB">
            <w:pPr>
              <w:rPr>
                <w:rFonts w:ascii="EC Square Sans Pro" w:hAnsi="EC Square Sans Pro"/>
                <w:sz w:val="20"/>
                <w:szCs w:val="20"/>
                <w:lang w:val="en-IE"/>
              </w:rPr>
            </w:pPr>
            <w:r w:rsidRPr="003753AE">
              <w:rPr>
                <w:rFonts w:ascii="EC Square Sans Pro" w:hAnsi="EC Square Sans Pro"/>
                <w:sz w:val="20"/>
                <w:szCs w:val="20"/>
                <w:lang w:val="en-IE"/>
              </w:rPr>
              <w:t xml:space="preserve">To establish a comprehensive landscape, we target both industrial and R&amp;D activities. This helps to capture economic agents that participate in the landscape with a variety of foci, interests and impact capacity. Therefore, players' economic activities of interest for the analysis of the TES ecosystem include R&amp;D processes (research and innovative developments), general economic processes (industrial production, trade, marketing and other services), firms funding (venture capital funds or </w:t>
            </w:r>
            <w:r w:rsidRPr="003753AE">
              <w:rPr>
                <w:rFonts w:ascii="EC Square Sans Pro" w:hAnsi="EC Square Sans Pro"/>
                <w:sz w:val="20"/>
                <w:szCs w:val="20"/>
                <w:lang w:val="en-IE"/>
              </w:rPr>
              <w:lastRenderedPageBreak/>
              <w:t xml:space="preserve">other types of investment). </w:t>
            </w:r>
          </w:p>
          <w:p w:rsidR="007E76E4" w:rsidRPr="003753AE" w:rsidRDefault="007E76E4" w:rsidP="001B31CB">
            <w:pPr>
              <w:rPr>
                <w:rFonts w:ascii="EC Square Sans Pro" w:hAnsi="EC Square Sans Pro"/>
                <w:sz w:val="20"/>
                <w:szCs w:val="20"/>
                <w:lang w:val="en-IE"/>
              </w:rPr>
            </w:pPr>
          </w:p>
          <w:p w:rsidR="007E76E4" w:rsidRPr="003753AE" w:rsidRDefault="007E76E4" w:rsidP="001B31CB">
            <w:pPr>
              <w:rPr>
                <w:rFonts w:ascii="EC Square Sans Pro" w:hAnsi="EC Square Sans Pro"/>
                <w:sz w:val="20"/>
                <w:szCs w:val="20"/>
                <w:lang w:val="en-IE"/>
              </w:rPr>
            </w:pPr>
            <w:r w:rsidRPr="003753AE">
              <w:rPr>
                <w:rFonts w:ascii="EC Square Sans Pro" w:hAnsi="EC Square Sans Pro"/>
                <w:sz w:val="20"/>
                <w:szCs w:val="20"/>
                <w:lang w:val="en-IE"/>
              </w:rPr>
              <w:t>*As long as JRC TES AI Dataset is updated with this frequency.</w:t>
            </w:r>
          </w:p>
          <w:p w:rsidR="007E76E4" w:rsidRPr="003753AE" w:rsidRDefault="007E76E4" w:rsidP="001B31CB">
            <w:pPr>
              <w:rPr>
                <w:rFonts w:ascii="EC Square Sans Pro" w:hAnsi="EC Square Sans Pro"/>
                <w:sz w:val="20"/>
                <w:szCs w:val="20"/>
                <w:lang w:val="en-IE"/>
              </w:rPr>
            </w:pPr>
          </w:p>
          <w:p w:rsidR="007E76E4" w:rsidRPr="003753AE" w:rsidRDefault="007E76E4" w:rsidP="001B31CB">
            <w:pPr>
              <w:rPr>
                <w:rFonts w:ascii="EC Square Sans Pro" w:hAnsi="EC Square Sans Pro"/>
                <w:sz w:val="20"/>
                <w:szCs w:val="20"/>
                <w:lang w:val="en-IE"/>
              </w:rPr>
            </w:pPr>
            <w:r w:rsidRPr="003753AE">
              <w:rPr>
                <w:rFonts w:ascii="EC Square Sans Pro" w:hAnsi="EC Square Sans Pro"/>
                <w:sz w:val="20"/>
                <w:szCs w:val="20"/>
                <w:lang w:val="en-IE"/>
              </w:rPr>
              <w:t xml:space="preserve">Reference: Samoili S., </w:t>
            </w:r>
            <w:proofErr w:type="spellStart"/>
            <w:r w:rsidRPr="003753AE">
              <w:rPr>
                <w:rFonts w:ascii="EC Square Sans Pro" w:hAnsi="EC Square Sans Pro"/>
                <w:sz w:val="20"/>
                <w:szCs w:val="20"/>
                <w:lang w:val="en-IE"/>
              </w:rPr>
              <w:t>Righi</w:t>
            </w:r>
            <w:proofErr w:type="spellEnd"/>
            <w:r w:rsidRPr="003753AE">
              <w:rPr>
                <w:rFonts w:ascii="EC Square Sans Pro" w:hAnsi="EC Square Sans Pro"/>
                <w:sz w:val="20"/>
                <w:szCs w:val="20"/>
                <w:lang w:val="en-IE"/>
              </w:rPr>
              <w:t xml:space="preserve"> R., Cardona M., López Cobo M., Vázquez-Prada </w:t>
            </w:r>
            <w:proofErr w:type="spellStart"/>
            <w:r w:rsidRPr="003753AE">
              <w:rPr>
                <w:rFonts w:ascii="EC Square Sans Pro" w:hAnsi="EC Square Sans Pro"/>
                <w:sz w:val="20"/>
                <w:szCs w:val="20"/>
                <w:lang w:val="en-IE"/>
              </w:rPr>
              <w:t>Baillet</w:t>
            </w:r>
            <w:proofErr w:type="spellEnd"/>
            <w:r w:rsidRPr="003753AE">
              <w:rPr>
                <w:rFonts w:ascii="EC Square Sans Pro" w:hAnsi="EC Square Sans Pro"/>
                <w:sz w:val="20"/>
                <w:szCs w:val="20"/>
                <w:lang w:val="en-IE"/>
              </w:rPr>
              <w:t xml:space="preserve"> M., and De Prato G., TES analysis of AI Worldwide Ecosystem in 2009-2018, EUR 30109 </w:t>
            </w:r>
            <w:proofErr w:type="spellStart"/>
            <w:r w:rsidRPr="003753AE">
              <w:rPr>
                <w:rFonts w:ascii="EC Square Sans Pro" w:hAnsi="EC Square Sans Pro"/>
                <w:sz w:val="20"/>
                <w:szCs w:val="20"/>
                <w:lang w:val="en-IE"/>
              </w:rPr>
              <w:t>EN</w:t>
            </w:r>
            <w:proofErr w:type="spellEnd"/>
            <w:r w:rsidRPr="003753AE">
              <w:rPr>
                <w:rFonts w:ascii="EC Square Sans Pro" w:hAnsi="EC Square Sans Pro"/>
                <w:sz w:val="20"/>
                <w:szCs w:val="20"/>
                <w:lang w:val="en-IE"/>
              </w:rPr>
              <w:t xml:space="preserve">, Publications Office of the European Union, Luxembourg, 2020, ISBN 978-92-76-16661-0, doi:10.2760/85212, JRC120106. </w:t>
            </w:r>
            <w:hyperlink r:id="rId5" w:history="1">
              <w:r w:rsidRPr="003753AE">
                <w:rPr>
                  <w:rStyle w:val="Hyperlink"/>
                  <w:sz w:val="20"/>
                  <w:szCs w:val="20"/>
                  <w:lang w:val="en-IE"/>
                </w:rPr>
                <w:t>https://publications.jrc.ec.europa.eu/repository/handle/JRC120106</w:t>
              </w:r>
            </w:hyperlink>
          </w:p>
        </w:tc>
      </w:tr>
      <w:tr w:rsidR="007E76E4" w:rsidRPr="003753AE" w:rsidTr="001B31CB">
        <w:trPr>
          <w:trHeight w:val="284"/>
        </w:trPr>
        <w:tc>
          <w:tcPr>
            <w:tcW w:w="2694" w:type="dxa"/>
            <w:tcBorders>
              <w:top w:val="single" w:sz="4" w:space="0" w:color="auto"/>
              <w:bottom w:val="single" w:sz="4" w:space="0" w:color="auto"/>
            </w:tcBorders>
            <w:shd w:val="clear" w:color="auto" w:fill="auto"/>
            <w:hideMark/>
          </w:tcPr>
          <w:p w:rsidR="007E76E4" w:rsidRPr="003753AE" w:rsidRDefault="007E76E4" w:rsidP="001B31CB">
            <w:pPr>
              <w:ind w:right="87"/>
              <w:jc w:val="right"/>
              <w:rPr>
                <w:rFonts w:ascii="EC Square Sans Pro" w:hAnsi="EC Square Sans Pro" w:cs="Calibri"/>
                <w:b/>
                <w:bCs/>
                <w:color w:val="000000"/>
                <w:sz w:val="20"/>
                <w:szCs w:val="20"/>
                <w:lang w:val="en-IE" w:eastAsia="en-IE"/>
              </w:rPr>
            </w:pPr>
            <w:r w:rsidRPr="003753AE">
              <w:rPr>
                <w:rFonts w:ascii="EC Square Sans Pro" w:hAnsi="EC Square Sans Pro" w:cs="Calibri"/>
                <w:b/>
                <w:bCs/>
                <w:color w:val="000000"/>
                <w:sz w:val="20"/>
                <w:szCs w:val="20"/>
                <w:lang w:val="en-IE" w:eastAsia="en-IE"/>
              </w:rPr>
              <w:lastRenderedPageBreak/>
              <w:t>Foreseen availability</w:t>
            </w:r>
          </w:p>
        </w:tc>
        <w:tc>
          <w:tcPr>
            <w:tcW w:w="6378" w:type="dxa"/>
            <w:tcBorders>
              <w:top w:val="single" w:sz="4" w:space="0" w:color="auto"/>
              <w:bottom w:val="single" w:sz="4" w:space="0" w:color="auto"/>
            </w:tcBorders>
            <w:shd w:val="clear" w:color="auto" w:fill="auto"/>
            <w:noWrap/>
          </w:tcPr>
          <w:p w:rsidR="007E76E4" w:rsidRPr="003753AE" w:rsidRDefault="007E76E4" w:rsidP="001B31CB">
            <w:pPr>
              <w:rPr>
                <w:rFonts w:ascii="EC Square Sans Pro" w:hAnsi="EC Square Sans Pro" w:cs="Calibri"/>
                <w:color w:val="000000"/>
                <w:sz w:val="20"/>
                <w:szCs w:val="20"/>
                <w:lang w:val="en-IE" w:eastAsia="en-IE"/>
              </w:rPr>
            </w:pPr>
            <w:r w:rsidRPr="003753AE">
              <w:rPr>
                <w:rFonts w:ascii="EC Square Sans Pro" w:hAnsi="EC Square Sans Pro"/>
                <w:sz w:val="20"/>
                <w:szCs w:val="20"/>
                <w:lang w:val="en-IE"/>
              </w:rPr>
              <w:t>April 2021</w:t>
            </w:r>
          </w:p>
        </w:tc>
      </w:tr>
    </w:tbl>
    <w:p w:rsidR="007E76E4" w:rsidRPr="003753AE" w:rsidRDefault="007E76E4" w:rsidP="007E76E4">
      <w:pPr>
        <w:pStyle w:val="JRCText"/>
        <w:rPr>
          <w:lang w:val="en-IE"/>
        </w:rPr>
      </w:pPr>
    </w:p>
    <w:p w:rsidR="00A567CB" w:rsidRDefault="00A567CB"/>
    <w:sectPr w:rsidR="00A56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 Square Sans Pro">
    <w:altName w:val="Bahnschrift Light"/>
    <w:panose1 w:val="020B0506040000020004"/>
    <w:charset w:val="00"/>
    <w:family w:val="swiss"/>
    <w:pitch w:val="variable"/>
    <w:sig w:usb0="A00002B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8766F"/>
    <w:multiLevelType w:val="multilevel"/>
    <w:tmpl w:val="2C807444"/>
    <w:lvl w:ilvl="0">
      <w:start w:val="1"/>
      <w:numFmt w:val="decimal"/>
      <w:pStyle w:val="JRCLevel-1title"/>
      <w:lvlText w:val="%1"/>
      <w:lvlJc w:val="left"/>
      <w:pPr>
        <w:ind w:left="1000" w:hanging="432"/>
      </w:pPr>
      <w:rPr>
        <w:rFonts w:hint="default"/>
      </w:rPr>
    </w:lvl>
    <w:lvl w:ilvl="1">
      <w:start w:val="1"/>
      <w:numFmt w:val="decimal"/>
      <w:pStyle w:val="JRCLevel-2title"/>
      <w:lvlText w:val="%1.%2"/>
      <w:lvlJc w:val="left"/>
      <w:pPr>
        <w:ind w:left="576" w:hanging="576"/>
      </w:pPr>
      <w:rPr>
        <w:rFonts w:hint="default"/>
      </w:rPr>
    </w:lvl>
    <w:lvl w:ilvl="2">
      <w:start w:val="1"/>
      <w:numFmt w:val="decimal"/>
      <w:pStyle w:val="JRCLevel-3titl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96C7172"/>
    <w:multiLevelType w:val="hybridMultilevel"/>
    <w:tmpl w:val="72D6FE46"/>
    <w:lvl w:ilvl="0" w:tplc="73CAA1F8">
      <w:start w:val="1"/>
      <w:numFmt w:val="bullet"/>
      <w:pStyle w:val="ListParagraph"/>
      <w:lvlText w:val=""/>
      <w:lvlJc w:val="left"/>
      <w:pPr>
        <w:ind w:left="720" w:hanging="360"/>
      </w:pPr>
      <w:rPr>
        <w:rFonts w:ascii="Symbol" w:hAnsi="Symbol" w:hint="default"/>
      </w:rPr>
    </w:lvl>
    <w:lvl w:ilvl="1" w:tplc="9EE42A02">
      <w:start w:val="1"/>
      <w:numFmt w:val="bullet"/>
      <w:lvlText w:val=""/>
      <w:lvlJc w:val="left"/>
      <w:pPr>
        <w:ind w:left="1440" w:hanging="360"/>
      </w:pPr>
      <w:rPr>
        <w:rFonts w:ascii="Symbol" w:hAnsi="Symbol" w:hint="default"/>
      </w:rPr>
    </w:lvl>
    <w:lvl w:ilvl="2" w:tplc="59CED0D0">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E4"/>
    <w:rsid w:val="00010C6B"/>
    <w:rsid w:val="000171CF"/>
    <w:rsid w:val="00030A03"/>
    <w:rsid w:val="00065184"/>
    <w:rsid w:val="00067520"/>
    <w:rsid w:val="00080D42"/>
    <w:rsid w:val="000818B7"/>
    <w:rsid w:val="000A329E"/>
    <w:rsid w:val="000E67BF"/>
    <w:rsid w:val="001551DD"/>
    <w:rsid w:val="00183C00"/>
    <w:rsid w:val="001D3091"/>
    <w:rsid w:val="00200432"/>
    <w:rsid w:val="002129A2"/>
    <w:rsid w:val="00250BA1"/>
    <w:rsid w:val="00294339"/>
    <w:rsid w:val="00363AD0"/>
    <w:rsid w:val="003C6CFB"/>
    <w:rsid w:val="003D4DD4"/>
    <w:rsid w:val="004604E3"/>
    <w:rsid w:val="004C230C"/>
    <w:rsid w:val="004C5F6F"/>
    <w:rsid w:val="004D5569"/>
    <w:rsid w:val="004E33BE"/>
    <w:rsid w:val="004E5E30"/>
    <w:rsid w:val="004F3A95"/>
    <w:rsid w:val="0051013E"/>
    <w:rsid w:val="005137D7"/>
    <w:rsid w:val="00530E67"/>
    <w:rsid w:val="005426E6"/>
    <w:rsid w:val="005B1247"/>
    <w:rsid w:val="005B560F"/>
    <w:rsid w:val="00613643"/>
    <w:rsid w:val="006166B6"/>
    <w:rsid w:val="006912E9"/>
    <w:rsid w:val="006A380A"/>
    <w:rsid w:val="006D5D4B"/>
    <w:rsid w:val="006D63EE"/>
    <w:rsid w:val="00714514"/>
    <w:rsid w:val="00732526"/>
    <w:rsid w:val="00734DF7"/>
    <w:rsid w:val="0074313D"/>
    <w:rsid w:val="00757E33"/>
    <w:rsid w:val="007C3938"/>
    <w:rsid w:val="007E76E4"/>
    <w:rsid w:val="007E7971"/>
    <w:rsid w:val="007F25E2"/>
    <w:rsid w:val="007F72DB"/>
    <w:rsid w:val="008465B0"/>
    <w:rsid w:val="00874130"/>
    <w:rsid w:val="00881481"/>
    <w:rsid w:val="00884501"/>
    <w:rsid w:val="00894C3A"/>
    <w:rsid w:val="0091638B"/>
    <w:rsid w:val="00932514"/>
    <w:rsid w:val="00976765"/>
    <w:rsid w:val="00994B89"/>
    <w:rsid w:val="009B1EB8"/>
    <w:rsid w:val="009B2022"/>
    <w:rsid w:val="009C38D5"/>
    <w:rsid w:val="009C6599"/>
    <w:rsid w:val="009F2910"/>
    <w:rsid w:val="00A02FD8"/>
    <w:rsid w:val="00A23EA2"/>
    <w:rsid w:val="00A2650E"/>
    <w:rsid w:val="00A453DC"/>
    <w:rsid w:val="00A51335"/>
    <w:rsid w:val="00A567CB"/>
    <w:rsid w:val="00A76B9F"/>
    <w:rsid w:val="00AA1E68"/>
    <w:rsid w:val="00AC3F03"/>
    <w:rsid w:val="00AC593B"/>
    <w:rsid w:val="00AF6A52"/>
    <w:rsid w:val="00B209F7"/>
    <w:rsid w:val="00B22ED9"/>
    <w:rsid w:val="00B50B1B"/>
    <w:rsid w:val="00B72815"/>
    <w:rsid w:val="00BB775B"/>
    <w:rsid w:val="00BD5B14"/>
    <w:rsid w:val="00BF5345"/>
    <w:rsid w:val="00C152F4"/>
    <w:rsid w:val="00C80BE2"/>
    <w:rsid w:val="00CE5352"/>
    <w:rsid w:val="00D03C4A"/>
    <w:rsid w:val="00D7286E"/>
    <w:rsid w:val="00D85664"/>
    <w:rsid w:val="00DC40AA"/>
    <w:rsid w:val="00E96B95"/>
    <w:rsid w:val="00EA30A7"/>
    <w:rsid w:val="00ED166E"/>
    <w:rsid w:val="00F312C9"/>
    <w:rsid w:val="00F44DD7"/>
    <w:rsid w:val="00FB7629"/>
    <w:rsid w:val="00FC552F"/>
    <w:rsid w:val="00FE613B"/>
    <w:rsid w:val="00FF1868"/>
    <w:rsid w:val="00FF4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0E16"/>
  <w15:chartTrackingRefBased/>
  <w15:docId w15:val="{A4102BEF-5254-4993-8133-4A708AF6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E4"/>
    <w:pPr>
      <w:spacing w:after="0" w:line="240" w:lineRule="auto"/>
    </w:pPr>
    <w:rPr>
      <w:rFonts w:ascii="Times New Roman" w:eastAsia="Times New Roman" w:hAnsi="Times New Roman" w:cs="Times New Roman"/>
      <w:sz w:val="24"/>
      <w:szCs w:val="24"/>
      <w:lang w:val="it-IT"/>
    </w:rPr>
  </w:style>
  <w:style w:type="paragraph" w:styleId="Heading1">
    <w:name w:val="heading 1"/>
    <w:basedOn w:val="Normal"/>
    <w:next w:val="Normal"/>
    <w:link w:val="Heading1Char"/>
    <w:uiPriority w:val="9"/>
    <w:qFormat/>
    <w:rsid w:val="007F25E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jc w:val="both"/>
      <w:outlineLvl w:val="0"/>
    </w:pPr>
    <w:rPr>
      <w:rFonts w:eastAsiaTheme="minorHAnsi"/>
      <w:b/>
      <w:bCs/>
      <w:caps/>
      <w:color w:val="FFFFFF" w:themeColor="background1"/>
      <w:spacing w:val="15"/>
      <w:szCs w:val="22"/>
    </w:rPr>
  </w:style>
  <w:style w:type="paragraph" w:styleId="Heading2">
    <w:name w:val="heading 2"/>
    <w:basedOn w:val="Normal"/>
    <w:next w:val="Normal"/>
    <w:link w:val="Heading2Char"/>
    <w:uiPriority w:val="9"/>
    <w:unhideWhenUsed/>
    <w:qFormat/>
    <w:rsid w:val="007F25E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jc w:val="both"/>
      <w:outlineLvl w:val="1"/>
    </w:pPr>
    <w:rPr>
      <w:rFonts w:eastAsiaTheme="minorHAnsi"/>
      <w:caps/>
      <w:spacing w:val="15"/>
      <w:szCs w:val="22"/>
    </w:rPr>
  </w:style>
  <w:style w:type="paragraph" w:styleId="Heading3">
    <w:name w:val="heading 3"/>
    <w:basedOn w:val="Normal"/>
    <w:next w:val="Normal"/>
    <w:link w:val="Heading3Char"/>
    <w:uiPriority w:val="9"/>
    <w:semiHidden/>
    <w:unhideWhenUsed/>
    <w:qFormat/>
    <w:rsid w:val="007E76E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5E2"/>
    <w:rPr>
      <w:caps/>
      <w:spacing w:val="15"/>
      <w:shd w:val="clear" w:color="auto" w:fill="DBE5F1" w:themeFill="accent1" w:themeFillTint="33"/>
    </w:rPr>
  </w:style>
  <w:style w:type="paragraph" w:styleId="ListParagraph">
    <w:name w:val="List Paragraph"/>
    <w:basedOn w:val="Normal"/>
    <w:link w:val="ListParagraphChar"/>
    <w:uiPriority w:val="34"/>
    <w:qFormat/>
    <w:rsid w:val="007F25E2"/>
    <w:pPr>
      <w:numPr>
        <w:numId w:val="2"/>
      </w:numPr>
      <w:ind w:left="426" w:hanging="284"/>
      <w:contextualSpacing/>
      <w:jc w:val="both"/>
    </w:pPr>
    <w:rPr>
      <w:rFonts w:eastAsiaTheme="minorHAnsi"/>
      <w:szCs w:val="22"/>
    </w:rPr>
  </w:style>
  <w:style w:type="character" w:customStyle="1" w:styleId="ListParagraphChar">
    <w:name w:val="List Paragraph Char"/>
    <w:basedOn w:val="DefaultParagraphFont"/>
    <w:link w:val="ListParagraph"/>
    <w:uiPriority w:val="34"/>
    <w:rsid w:val="007F25E2"/>
  </w:style>
  <w:style w:type="character" w:customStyle="1" w:styleId="Heading1Char">
    <w:name w:val="Heading 1 Char"/>
    <w:basedOn w:val="DefaultParagraphFont"/>
    <w:link w:val="Heading1"/>
    <w:uiPriority w:val="9"/>
    <w:rsid w:val="007F25E2"/>
    <w:rPr>
      <w:b/>
      <w:bCs/>
      <w:caps/>
      <w:color w:val="FFFFFF" w:themeColor="background1"/>
      <w:spacing w:val="15"/>
      <w:shd w:val="clear" w:color="auto" w:fill="4F81BD" w:themeFill="accent1"/>
    </w:rPr>
  </w:style>
  <w:style w:type="paragraph" w:customStyle="1" w:styleId="JRCText">
    <w:name w:val="JRC_Text"/>
    <w:basedOn w:val="Normal"/>
    <w:link w:val="JRCTextChar"/>
    <w:qFormat/>
    <w:rsid w:val="007E76E4"/>
    <w:pPr>
      <w:spacing w:before="120" w:after="120"/>
      <w:jc w:val="both"/>
    </w:pPr>
    <w:rPr>
      <w:rFonts w:ascii="EC Square Sans Pro" w:eastAsia="Calibri" w:hAnsi="EC Square Sans Pro"/>
      <w:sz w:val="20"/>
      <w:szCs w:val="22"/>
      <w:lang w:val="en-GB"/>
    </w:rPr>
  </w:style>
  <w:style w:type="character" w:customStyle="1" w:styleId="JRCTextChar">
    <w:name w:val="JRC_Text Char"/>
    <w:basedOn w:val="DefaultParagraphFont"/>
    <w:link w:val="JRCText"/>
    <w:rsid w:val="007E76E4"/>
    <w:rPr>
      <w:rFonts w:ascii="EC Square Sans Pro" w:eastAsia="Calibri" w:hAnsi="EC Square Sans Pro" w:cs="Times New Roman"/>
      <w:sz w:val="20"/>
    </w:rPr>
  </w:style>
  <w:style w:type="paragraph" w:customStyle="1" w:styleId="JRCLevel-2title">
    <w:name w:val="JRC_Level-2_title"/>
    <w:basedOn w:val="Heading2"/>
    <w:next w:val="JRCText"/>
    <w:autoRedefine/>
    <w:qFormat/>
    <w:rsid w:val="007E76E4"/>
    <w:pPr>
      <w:keepNext/>
      <w:keepLines/>
      <w:numPr>
        <w:ilvl w:val="1"/>
        <w:numId w:val="3"/>
      </w:numPr>
      <w:pBdr>
        <w:top w:val="none" w:sz="0" w:space="0" w:color="auto"/>
        <w:left w:val="none" w:sz="0" w:space="0" w:color="auto"/>
        <w:bottom w:val="none" w:sz="0" w:space="0" w:color="auto"/>
        <w:right w:val="none" w:sz="0" w:space="0" w:color="auto"/>
      </w:pBdr>
      <w:shd w:val="clear" w:color="auto" w:fill="auto"/>
      <w:tabs>
        <w:tab w:val="num" w:pos="360"/>
      </w:tabs>
      <w:ind w:left="0" w:firstLine="0"/>
    </w:pPr>
    <w:rPr>
      <w:rFonts w:ascii="EC Square Sans Pro" w:eastAsia="Times New Roman" w:hAnsi="EC Square Sans Pro"/>
      <w:b/>
      <w:bCs/>
      <w:iCs/>
      <w:caps w:val="0"/>
      <w:spacing w:val="0"/>
    </w:rPr>
  </w:style>
  <w:style w:type="paragraph" w:customStyle="1" w:styleId="JRCLevel-1title">
    <w:name w:val="JRC_Level-1_title"/>
    <w:basedOn w:val="Heading1"/>
    <w:next w:val="JRCText"/>
    <w:qFormat/>
    <w:rsid w:val="007E76E4"/>
    <w:pPr>
      <w:keepNext/>
      <w:pageBreakBefore/>
      <w:numPr>
        <w:numId w:val="3"/>
      </w:numPr>
      <w:pBdr>
        <w:top w:val="none" w:sz="0" w:space="0" w:color="auto"/>
        <w:left w:val="none" w:sz="0" w:space="0" w:color="auto"/>
        <w:bottom w:val="none" w:sz="0" w:space="0" w:color="auto"/>
        <w:right w:val="none" w:sz="0" w:space="0" w:color="auto"/>
      </w:pBdr>
      <w:shd w:val="clear" w:color="auto" w:fill="auto"/>
      <w:tabs>
        <w:tab w:val="num" w:pos="360"/>
      </w:tabs>
      <w:spacing w:before="0"/>
      <w:ind w:left="0" w:firstLine="0"/>
      <w:jc w:val="left"/>
    </w:pPr>
    <w:rPr>
      <w:rFonts w:ascii="EC Square Sans Pro" w:eastAsia="Calibri" w:hAnsi="EC Square Sans Pro"/>
      <w:bCs w:val="0"/>
      <w:caps w:val="0"/>
      <w:color w:val="auto"/>
      <w:spacing w:val="0"/>
      <w:sz w:val="26"/>
      <w:szCs w:val="24"/>
    </w:rPr>
  </w:style>
  <w:style w:type="paragraph" w:customStyle="1" w:styleId="JRCLevel-4title">
    <w:name w:val="JRC_Level-4_title"/>
    <w:basedOn w:val="Normal"/>
    <w:next w:val="JRCText"/>
    <w:autoRedefine/>
    <w:qFormat/>
    <w:rsid w:val="007E76E4"/>
    <w:pPr>
      <w:keepNext/>
      <w:spacing w:before="240" w:after="120"/>
      <w:ind w:left="864" w:hanging="864"/>
    </w:pPr>
    <w:rPr>
      <w:rFonts w:ascii="EC Square Sans Pro" w:hAnsi="EC Square Sans Pro"/>
      <w:b/>
      <w:i/>
      <w:sz w:val="20"/>
      <w:szCs w:val="22"/>
      <w:lang w:val="en-GB" w:eastAsia="en-GB"/>
    </w:rPr>
  </w:style>
  <w:style w:type="paragraph" w:customStyle="1" w:styleId="JRCLevel-3title">
    <w:name w:val="JRC_Level-3_title"/>
    <w:basedOn w:val="Heading3"/>
    <w:next w:val="JRCText"/>
    <w:autoRedefine/>
    <w:qFormat/>
    <w:rsid w:val="007E76E4"/>
    <w:pPr>
      <w:numPr>
        <w:ilvl w:val="2"/>
        <w:numId w:val="3"/>
      </w:numPr>
      <w:tabs>
        <w:tab w:val="num" w:pos="360"/>
      </w:tabs>
      <w:spacing w:before="240" w:after="120"/>
      <w:ind w:left="0" w:firstLine="0"/>
      <w:jc w:val="both"/>
    </w:pPr>
    <w:rPr>
      <w:rFonts w:ascii="EC Square Sans Pro" w:eastAsia="Times New Roman" w:hAnsi="EC Square Sans Pro" w:cs="Times New Roman"/>
      <w:b/>
      <w:bCs/>
      <w:color w:val="auto"/>
      <w:sz w:val="22"/>
      <w:lang w:val="en-GB"/>
    </w:rPr>
  </w:style>
  <w:style w:type="character" w:styleId="Hyperlink">
    <w:name w:val="Hyperlink"/>
    <w:basedOn w:val="DefaultParagraphFont"/>
    <w:uiPriority w:val="99"/>
    <w:unhideWhenUsed/>
    <w:rsid w:val="007E76E4"/>
    <w:rPr>
      <w:rFonts w:ascii="EC Square Sans Pro" w:hAnsi="EC Square Sans Pro"/>
      <w:color w:val="0000FF" w:themeColor="hyperlink"/>
      <w:u w:val="single"/>
    </w:rPr>
  </w:style>
  <w:style w:type="character" w:customStyle="1" w:styleId="Heading3Char">
    <w:name w:val="Heading 3 Char"/>
    <w:basedOn w:val="DefaultParagraphFont"/>
    <w:link w:val="Heading3"/>
    <w:uiPriority w:val="9"/>
    <w:semiHidden/>
    <w:rsid w:val="007E76E4"/>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ications.jrc.ec.europa.eu/repository/handle/JRC120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608</Words>
  <Characters>3601</Characters>
  <Application>Microsoft Office Word</Application>
  <DocSecurity>0</DocSecurity>
  <Lines>97</Lines>
  <Paragraphs>62</Paragraphs>
  <ScaleCrop>false</ScaleCrop>
  <Company>European Commission</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COBO Montserrat (JRC-SEVILLA)</dc:creator>
  <cp:keywords/>
  <dc:description/>
  <cp:lastModifiedBy>LOPEZ COBO Montserrat (JRC-SEVILLA)</cp:lastModifiedBy>
  <cp:revision>1</cp:revision>
  <dcterms:created xsi:type="dcterms:W3CDTF">2021-11-10T12:07:00Z</dcterms:created>
  <dcterms:modified xsi:type="dcterms:W3CDTF">2021-11-10T12:11:00Z</dcterms:modified>
</cp:coreProperties>
</file>